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8" w:rsidRPr="008F6D08" w:rsidRDefault="000D533C" w:rsidP="000D533C">
      <w:pPr>
        <w:jc w:val="center"/>
        <w:rPr>
          <w:rFonts w:ascii="Times New Roman" w:hAnsi="Times New Roman"/>
          <w:szCs w:val="24"/>
        </w:rPr>
      </w:pPr>
      <w:r w:rsidRPr="008F6D08">
        <w:rPr>
          <w:rFonts w:ascii="Times New Roman" w:hAnsi="Times New Roman"/>
          <w:szCs w:val="24"/>
        </w:rPr>
        <w:t>FW 364</w:t>
      </w:r>
      <w:r>
        <w:rPr>
          <w:rFonts w:ascii="Times New Roman" w:hAnsi="Times New Roman"/>
          <w:szCs w:val="24"/>
        </w:rPr>
        <w:t xml:space="preserve">: </w:t>
      </w:r>
      <w:bookmarkStart w:id="0" w:name="_GoBack"/>
      <w:bookmarkEnd w:id="0"/>
      <w:r w:rsidR="002F3DC8" w:rsidRPr="008F6D08">
        <w:rPr>
          <w:rFonts w:ascii="Times New Roman" w:hAnsi="Times New Roman"/>
          <w:szCs w:val="24"/>
        </w:rPr>
        <w:t>Ecological Problem Solving</w:t>
      </w:r>
    </w:p>
    <w:p w:rsidR="002F3DC8" w:rsidRPr="008F6D08" w:rsidRDefault="002F3DC8" w:rsidP="008F6D08">
      <w:pPr>
        <w:jc w:val="both"/>
        <w:rPr>
          <w:rFonts w:ascii="Times New Roman" w:hAnsi="Times New Roman"/>
          <w:szCs w:val="24"/>
        </w:rPr>
      </w:pPr>
      <w:r w:rsidRPr="008F6D08">
        <w:rPr>
          <w:rFonts w:ascii="Times New Roman" w:hAnsi="Times New Roman"/>
          <w:szCs w:val="24"/>
        </w:rPr>
        <w:t>Assignment 7</w:t>
      </w:r>
      <w:r w:rsidR="00394338">
        <w:rPr>
          <w:rFonts w:ascii="Times New Roman" w:hAnsi="Times New Roman"/>
          <w:szCs w:val="24"/>
        </w:rPr>
        <w:t xml:space="preserve"> (two pages)</w:t>
      </w:r>
    </w:p>
    <w:p w:rsidR="002F3DC8" w:rsidRPr="008F6D08" w:rsidRDefault="002F3DC8" w:rsidP="008F6D08">
      <w:pPr>
        <w:jc w:val="both"/>
        <w:rPr>
          <w:rFonts w:ascii="Times New Roman" w:hAnsi="Times New Roman"/>
          <w:b/>
          <w:szCs w:val="24"/>
        </w:rPr>
      </w:pPr>
      <w:r w:rsidRPr="008F6D08">
        <w:rPr>
          <w:rFonts w:ascii="Times New Roman" w:hAnsi="Times New Roman"/>
          <w:b/>
          <w:szCs w:val="24"/>
        </w:rPr>
        <w:t xml:space="preserve">Due: </w:t>
      </w:r>
      <w:r w:rsidR="000D533C">
        <w:rPr>
          <w:rFonts w:ascii="Times New Roman" w:hAnsi="Times New Roman"/>
          <w:b/>
          <w:szCs w:val="24"/>
        </w:rPr>
        <w:t>Nov. 12</w:t>
      </w:r>
    </w:p>
    <w:p w:rsidR="002F3DC8" w:rsidRPr="008F6D08" w:rsidRDefault="002F3DC8" w:rsidP="008F6D08">
      <w:pPr>
        <w:jc w:val="both"/>
        <w:rPr>
          <w:rFonts w:ascii="Times New Roman" w:hAnsi="Times New Roman"/>
          <w:b/>
          <w:szCs w:val="24"/>
        </w:rPr>
      </w:pPr>
    </w:p>
    <w:p w:rsidR="002F3DC8" w:rsidRPr="008F6D08" w:rsidRDefault="002F3DC8" w:rsidP="008F6D08">
      <w:pPr>
        <w:jc w:val="both"/>
        <w:rPr>
          <w:rFonts w:ascii="Times New Roman" w:hAnsi="Times New Roman"/>
          <w:szCs w:val="24"/>
        </w:rPr>
      </w:pPr>
      <w:r w:rsidRPr="008F6D08">
        <w:rPr>
          <w:rFonts w:ascii="Times New Roman" w:hAnsi="Times New Roman"/>
          <w:b/>
          <w:szCs w:val="24"/>
        </w:rPr>
        <w:t>Learning objectives</w:t>
      </w:r>
      <w:r w:rsidRPr="008F6D08">
        <w:rPr>
          <w:rFonts w:ascii="Times New Roman" w:hAnsi="Times New Roman"/>
          <w:szCs w:val="24"/>
        </w:rPr>
        <w:t>: In this lab, we apply the Leslie matrix again</w:t>
      </w:r>
      <w:r w:rsidR="008F6D08">
        <w:rPr>
          <w:rFonts w:ascii="Times New Roman" w:hAnsi="Times New Roman"/>
          <w:szCs w:val="24"/>
        </w:rPr>
        <w:t xml:space="preserve">. </w:t>
      </w:r>
      <w:r w:rsidRPr="008F6D08">
        <w:rPr>
          <w:rFonts w:ascii="Times New Roman" w:hAnsi="Times New Roman"/>
          <w:szCs w:val="24"/>
        </w:rPr>
        <w:t>This lab reinforces the distinction between age and stage structure, the former being a special case of the latter</w:t>
      </w:r>
      <w:r w:rsidR="008F6D08">
        <w:rPr>
          <w:rFonts w:ascii="Times New Roman" w:hAnsi="Times New Roman"/>
          <w:szCs w:val="24"/>
        </w:rPr>
        <w:t xml:space="preserve">. </w:t>
      </w:r>
      <w:r w:rsidRPr="008F6D08">
        <w:rPr>
          <w:rFonts w:ascii="Times New Roman" w:hAnsi="Times New Roman"/>
          <w:szCs w:val="24"/>
        </w:rPr>
        <w:t>We use a demographic model to make decisions about the management of a threatened species.</w:t>
      </w:r>
    </w:p>
    <w:p w:rsidR="002F3DC8" w:rsidRPr="008F6D08" w:rsidRDefault="002F3DC8" w:rsidP="008F6D08">
      <w:pPr>
        <w:jc w:val="both"/>
        <w:rPr>
          <w:rFonts w:ascii="Times New Roman" w:hAnsi="Times New Roman"/>
          <w:szCs w:val="24"/>
        </w:rPr>
      </w:pPr>
    </w:p>
    <w:p w:rsidR="002F3DC8" w:rsidRPr="008F6D08" w:rsidRDefault="002F3DC8" w:rsidP="008F6D08">
      <w:pPr>
        <w:jc w:val="both"/>
        <w:rPr>
          <w:rFonts w:ascii="Times New Roman" w:hAnsi="Times New Roman"/>
          <w:szCs w:val="24"/>
        </w:rPr>
      </w:pPr>
      <w:r w:rsidRPr="008F6D08">
        <w:rPr>
          <w:rFonts w:ascii="Times New Roman" w:hAnsi="Times New Roman"/>
          <w:szCs w:val="24"/>
        </w:rPr>
        <w:t>In this exercise, we will use a stage-structured model of the threatened loggerhead turtle population to evaluate two alternative conservation strategies</w:t>
      </w:r>
      <w:r w:rsidR="008F6D08">
        <w:rPr>
          <w:rFonts w:ascii="Times New Roman" w:hAnsi="Times New Roman"/>
          <w:szCs w:val="24"/>
        </w:rPr>
        <w:t xml:space="preserve">. </w:t>
      </w:r>
      <w:r w:rsidRPr="008F6D08">
        <w:rPr>
          <w:rFonts w:ascii="Times New Roman" w:hAnsi="Times New Roman"/>
          <w:szCs w:val="24"/>
        </w:rPr>
        <w:t>Loggerhead turtles are difficult to age, so</w:t>
      </w:r>
      <w:r w:rsidR="00B07145">
        <w:rPr>
          <w:rFonts w:ascii="Times New Roman" w:hAnsi="Times New Roman"/>
          <w:szCs w:val="24"/>
        </w:rPr>
        <w:t xml:space="preserve"> the turtles</w:t>
      </w:r>
      <w:r w:rsidRPr="008F6D08">
        <w:rPr>
          <w:rFonts w:ascii="Times New Roman" w:hAnsi="Times New Roman"/>
          <w:szCs w:val="24"/>
        </w:rPr>
        <w:t xml:space="preserve"> must be modeled by classifying individuals into stages</w:t>
      </w:r>
      <w:r w:rsidR="00F64D17">
        <w:rPr>
          <w:rFonts w:ascii="Times New Roman" w:hAnsi="Times New Roman"/>
          <w:szCs w:val="24"/>
        </w:rPr>
        <w:t>. We will use five</w:t>
      </w:r>
      <w:r w:rsidR="00C04ABE">
        <w:rPr>
          <w:rFonts w:ascii="Times New Roman" w:hAnsi="Times New Roman"/>
          <w:szCs w:val="24"/>
        </w:rPr>
        <w:t xml:space="preserve"> stages: hatchlings, small juveniles, large juveniles, </w:t>
      </w:r>
      <w:proofErr w:type="spellStart"/>
      <w:r w:rsidR="00C04ABE">
        <w:rPr>
          <w:rFonts w:ascii="Times New Roman" w:hAnsi="Times New Roman"/>
          <w:szCs w:val="24"/>
        </w:rPr>
        <w:t>subadults</w:t>
      </w:r>
      <w:proofErr w:type="spellEnd"/>
      <w:r w:rsidR="00C04ABE">
        <w:rPr>
          <w:rFonts w:ascii="Times New Roman" w:hAnsi="Times New Roman"/>
          <w:szCs w:val="24"/>
        </w:rPr>
        <w:t xml:space="preserve"> (i.e., small adults), and adults.</w:t>
      </w:r>
      <w:r w:rsidR="008F6D08">
        <w:rPr>
          <w:rFonts w:ascii="Times New Roman" w:hAnsi="Times New Roman"/>
          <w:szCs w:val="24"/>
        </w:rPr>
        <w:t xml:space="preserve"> </w:t>
      </w:r>
      <w:r w:rsidRPr="008F6D08">
        <w:rPr>
          <w:rFonts w:ascii="Times New Roman" w:hAnsi="Times New Roman"/>
          <w:szCs w:val="24"/>
        </w:rPr>
        <w:t xml:space="preserve">Hatchlings grow fast </w:t>
      </w:r>
      <w:r w:rsidR="00B07145">
        <w:rPr>
          <w:rFonts w:ascii="Times New Roman" w:hAnsi="Times New Roman"/>
          <w:szCs w:val="24"/>
        </w:rPr>
        <w:t>and</w:t>
      </w:r>
      <w:r w:rsidRPr="008F6D08">
        <w:rPr>
          <w:rFonts w:ascii="Times New Roman" w:hAnsi="Times New Roman"/>
          <w:szCs w:val="24"/>
        </w:rPr>
        <w:t xml:space="preserve"> have relatively low survival, while older turtles grow slowly and</w:t>
      </w:r>
      <w:r w:rsidR="00B07145">
        <w:rPr>
          <w:rFonts w:ascii="Times New Roman" w:hAnsi="Times New Roman"/>
          <w:szCs w:val="24"/>
        </w:rPr>
        <w:t>, therefore,</w:t>
      </w:r>
      <w:r w:rsidRPr="008F6D08">
        <w:rPr>
          <w:rFonts w:ascii="Times New Roman" w:hAnsi="Times New Roman"/>
          <w:szCs w:val="24"/>
        </w:rPr>
        <w:t xml:space="preserve"> have a high probability of remaining in a particular stage from one year to the next</w:t>
      </w:r>
      <w:r w:rsidR="008F6D08">
        <w:rPr>
          <w:rFonts w:ascii="Times New Roman" w:hAnsi="Times New Roman"/>
          <w:szCs w:val="24"/>
        </w:rPr>
        <w:t xml:space="preserve">. </w:t>
      </w:r>
      <w:r w:rsidRPr="008F6D08">
        <w:rPr>
          <w:rFonts w:ascii="Times New Roman" w:hAnsi="Times New Roman"/>
          <w:szCs w:val="24"/>
        </w:rPr>
        <w:t>Fecundity is strongly related to turtle s</w:t>
      </w:r>
      <w:r w:rsidR="00D17146">
        <w:rPr>
          <w:rFonts w:ascii="Times New Roman" w:hAnsi="Times New Roman"/>
          <w:szCs w:val="24"/>
        </w:rPr>
        <w:t>ize, with adults producing more than</w:t>
      </w:r>
      <w:r w:rsidRPr="008F6D08">
        <w:rPr>
          <w:rFonts w:ascii="Times New Roman" w:hAnsi="Times New Roman"/>
          <w:szCs w:val="24"/>
        </w:rPr>
        <w:t xml:space="preserve"> 10 times </w:t>
      </w:r>
      <w:r w:rsidR="00D17146">
        <w:rPr>
          <w:rFonts w:ascii="Times New Roman" w:hAnsi="Times New Roman"/>
          <w:szCs w:val="24"/>
        </w:rPr>
        <w:t xml:space="preserve">the number of </w:t>
      </w:r>
      <w:r w:rsidRPr="008F6D08">
        <w:rPr>
          <w:rFonts w:ascii="Times New Roman" w:hAnsi="Times New Roman"/>
          <w:szCs w:val="24"/>
        </w:rPr>
        <w:t xml:space="preserve">offspring per year than </w:t>
      </w:r>
      <w:proofErr w:type="spellStart"/>
      <w:r w:rsidRPr="008F6D08">
        <w:rPr>
          <w:rFonts w:ascii="Times New Roman" w:hAnsi="Times New Roman"/>
          <w:szCs w:val="24"/>
        </w:rPr>
        <w:t>subadults</w:t>
      </w:r>
      <w:proofErr w:type="spellEnd"/>
      <w:r w:rsidRPr="008F6D08">
        <w:rPr>
          <w:rFonts w:ascii="Times New Roman" w:hAnsi="Times New Roman"/>
          <w:szCs w:val="24"/>
        </w:rPr>
        <w:t>.</w:t>
      </w:r>
    </w:p>
    <w:p w:rsidR="008F6D08" w:rsidRDefault="008F6D08" w:rsidP="008F6D08">
      <w:pPr>
        <w:jc w:val="both"/>
        <w:rPr>
          <w:rFonts w:ascii="Times New Roman" w:hAnsi="Times New Roman"/>
          <w:szCs w:val="24"/>
        </w:rPr>
      </w:pPr>
    </w:p>
    <w:p w:rsidR="00C04ABE" w:rsidRPr="00153F26" w:rsidRDefault="00153F26" w:rsidP="008F6D08">
      <w:pPr>
        <w:jc w:val="both"/>
        <w:rPr>
          <w:rFonts w:ascii="Times New Roman" w:hAnsi="Times New Roman"/>
          <w:b/>
          <w:szCs w:val="24"/>
        </w:rPr>
      </w:pPr>
      <w:r w:rsidRPr="00153F26">
        <w:rPr>
          <w:rFonts w:ascii="Times New Roman" w:hAnsi="Times New Roman"/>
          <w:b/>
          <w:szCs w:val="24"/>
        </w:rPr>
        <w:t xml:space="preserve">Part A: Baseline </w:t>
      </w:r>
      <w:r w:rsidR="000D533C">
        <w:rPr>
          <w:rFonts w:ascii="Times New Roman" w:hAnsi="Times New Roman"/>
          <w:b/>
          <w:szCs w:val="24"/>
        </w:rPr>
        <w:t>turtle population</w:t>
      </w:r>
    </w:p>
    <w:p w:rsidR="00D17146" w:rsidRDefault="000D533C" w:rsidP="008F6D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create a</w:t>
      </w:r>
      <w:r w:rsidR="002F3DC8" w:rsidRPr="008F6D08">
        <w:rPr>
          <w:rFonts w:ascii="Times New Roman" w:hAnsi="Times New Roman"/>
          <w:szCs w:val="24"/>
        </w:rPr>
        <w:t xml:space="preserve"> stage-structured model of the loggerhead population using the</w:t>
      </w:r>
      <w:r w:rsidR="00D17146">
        <w:rPr>
          <w:rFonts w:ascii="Times New Roman" w:hAnsi="Times New Roman"/>
          <w:szCs w:val="24"/>
        </w:rPr>
        <w:t xml:space="preserve"> following</w:t>
      </w:r>
      <w:r w:rsidR="002F3DC8" w:rsidRPr="008F6D08">
        <w:rPr>
          <w:rFonts w:ascii="Times New Roman" w:hAnsi="Times New Roman"/>
          <w:szCs w:val="24"/>
        </w:rPr>
        <w:t xml:space="preserve"> Leslie</w:t>
      </w:r>
      <w:r w:rsidR="00D17146">
        <w:rPr>
          <w:rFonts w:ascii="Times New Roman" w:hAnsi="Times New Roman"/>
          <w:szCs w:val="24"/>
        </w:rPr>
        <w:t xml:space="preserve"> (stage) matrix:</w:t>
      </w:r>
    </w:p>
    <w:tbl>
      <w:tblPr>
        <w:tblpPr w:leftFromText="180" w:rightFromText="180" w:vertAnchor="text" w:horzAnchor="margin" w:tblpXSpec="center" w:tblpY="171"/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810"/>
        <w:gridCol w:w="756"/>
        <w:gridCol w:w="954"/>
      </w:tblGrid>
      <w:tr w:rsidR="003B4CD3" w:rsidRPr="00796AEB" w:rsidTr="00796AEB">
        <w:tc>
          <w:tcPr>
            <w:tcW w:w="828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4.665</w:t>
            </w:r>
          </w:p>
        </w:tc>
        <w:tc>
          <w:tcPr>
            <w:tcW w:w="954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61.896</w:t>
            </w:r>
          </w:p>
        </w:tc>
      </w:tr>
      <w:tr w:rsidR="003B4CD3" w:rsidRPr="00796AEB" w:rsidTr="00796AEB">
        <w:tc>
          <w:tcPr>
            <w:tcW w:w="828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0.675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0.703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B4CD3" w:rsidRPr="00796AEB" w:rsidTr="00796AEB">
        <w:tc>
          <w:tcPr>
            <w:tcW w:w="828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0.047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0.657</w:t>
            </w:r>
          </w:p>
        </w:tc>
        <w:tc>
          <w:tcPr>
            <w:tcW w:w="756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B4CD3" w:rsidRPr="00796AEB" w:rsidTr="00796AEB">
        <w:tc>
          <w:tcPr>
            <w:tcW w:w="828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0.019</w:t>
            </w:r>
          </w:p>
        </w:tc>
        <w:tc>
          <w:tcPr>
            <w:tcW w:w="756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0.682</w:t>
            </w:r>
          </w:p>
        </w:tc>
        <w:tc>
          <w:tcPr>
            <w:tcW w:w="954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B4CD3" w:rsidRPr="00796AEB" w:rsidTr="00796AEB">
        <w:tc>
          <w:tcPr>
            <w:tcW w:w="828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0.061</w:t>
            </w:r>
          </w:p>
        </w:tc>
        <w:tc>
          <w:tcPr>
            <w:tcW w:w="954" w:type="dxa"/>
            <w:shd w:val="clear" w:color="auto" w:fill="auto"/>
          </w:tcPr>
          <w:p w:rsidR="002C5A57" w:rsidRPr="00796AEB" w:rsidRDefault="002C5A57" w:rsidP="00796AEB">
            <w:pPr>
              <w:jc w:val="center"/>
              <w:rPr>
                <w:rFonts w:ascii="Times New Roman" w:hAnsi="Times New Roman"/>
                <w:szCs w:val="24"/>
              </w:rPr>
            </w:pPr>
            <w:r w:rsidRPr="00796AEB">
              <w:rPr>
                <w:rFonts w:ascii="Times New Roman" w:hAnsi="Times New Roman"/>
                <w:szCs w:val="24"/>
              </w:rPr>
              <w:t>0.8091</w:t>
            </w:r>
          </w:p>
        </w:tc>
      </w:tr>
    </w:tbl>
    <w:p w:rsidR="00D17146" w:rsidRDefault="00D17146" w:rsidP="008F6D08">
      <w:pPr>
        <w:jc w:val="both"/>
        <w:rPr>
          <w:rFonts w:ascii="Times New Roman" w:hAnsi="Times New Roman"/>
          <w:szCs w:val="24"/>
        </w:rPr>
      </w:pPr>
    </w:p>
    <w:p w:rsidR="00D17146" w:rsidRDefault="00D17146" w:rsidP="008F6D08">
      <w:pPr>
        <w:jc w:val="both"/>
        <w:rPr>
          <w:rFonts w:ascii="Times New Roman" w:hAnsi="Times New Roman"/>
          <w:szCs w:val="24"/>
        </w:rPr>
      </w:pPr>
    </w:p>
    <w:p w:rsidR="00D17146" w:rsidRDefault="00D17146" w:rsidP="008F6D08">
      <w:pPr>
        <w:jc w:val="both"/>
        <w:rPr>
          <w:rFonts w:ascii="Times New Roman" w:hAnsi="Times New Roman"/>
          <w:szCs w:val="24"/>
        </w:rPr>
      </w:pPr>
    </w:p>
    <w:p w:rsidR="00D17146" w:rsidRDefault="00D17146" w:rsidP="008F6D08">
      <w:pPr>
        <w:jc w:val="both"/>
        <w:rPr>
          <w:rFonts w:ascii="Times New Roman" w:hAnsi="Times New Roman"/>
          <w:szCs w:val="24"/>
        </w:rPr>
      </w:pPr>
    </w:p>
    <w:p w:rsidR="00D17146" w:rsidRDefault="00D17146" w:rsidP="008F6D08">
      <w:pPr>
        <w:jc w:val="both"/>
        <w:rPr>
          <w:rFonts w:ascii="Times New Roman" w:hAnsi="Times New Roman"/>
          <w:szCs w:val="24"/>
        </w:rPr>
      </w:pPr>
    </w:p>
    <w:p w:rsidR="00D17146" w:rsidRDefault="00D17146" w:rsidP="008F6D08">
      <w:pPr>
        <w:jc w:val="both"/>
        <w:rPr>
          <w:rFonts w:ascii="Times New Roman" w:hAnsi="Times New Roman"/>
          <w:szCs w:val="24"/>
        </w:rPr>
      </w:pPr>
    </w:p>
    <w:p w:rsidR="00796AEB" w:rsidRDefault="00796AEB" w:rsidP="008F6D08">
      <w:pPr>
        <w:jc w:val="both"/>
        <w:rPr>
          <w:rFonts w:ascii="Times New Roman" w:hAnsi="Times New Roman"/>
          <w:szCs w:val="24"/>
        </w:rPr>
      </w:pPr>
    </w:p>
    <w:p w:rsidR="008F6D08" w:rsidRDefault="00F52715" w:rsidP="008F6D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Use an initial abundance of 100,000 turtles, distributed among stages as 30,000 hatchlings, 50,000 small juveniles, 18,000 large juveniles, and 2,000 </w:t>
      </w:r>
      <w:proofErr w:type="spellStart"/>
      <w:r>
        <w:rPr>
          <w:rFonts w:ascii="Times New Roman" w:hAnsi="Times New Roman"/>
          <w:szCs w:val="24"/>
        </w:rPr>
        <w:t>subadults</w:t>
      </w:r>
      <w:proofErr w:type="spellEnd"/>
      <w:r>
        <w:rPr>
          <w:rFonts w:ascii="Times New Roman" w:hAnsi="Times New Roman"/>
          <w:szCs w:val="24"/>
        </w:rPr>
        <w:t xml:space="preserve"> (no adults). </w:t>
      </w:r>
      <w:r w:rsidR="002F3DC8" w:rsidRPr="008F6D08">
        <w:rPr>
          <w:rFonts w:ascii="Times New Roman" w:hAnsi="Times New Roman"/>
          <w:szCs w:val="24"/>
        </w:rPr>
        <w:t xml:space="preserve">Run a </w:t>
      </w:r>
      <w:r w:rsidR="000D533C">
        <w:rPr>
          <w:rFonts w:ascii="Times New Roman" w:hAnsi="Times New Roman"/>
          <w:szCs w:val="24"/>
        </w:rPr>
        <w:t>2</w:t>
      </w:r>
      <w:r w:rsidR="002F3DC8" w:rsidRPr="008F6D08">
        <w:rPr>
          <w:rFonts w:ascii="Times New Roman" w:hAnsi="Times New Roman"/>
          <w:szCs w:val="24"/>
        </w:rPr>
        <w:t>0 year simulation</w:t>
      </w:r>
      <w:r w:rsidR="008F6D08">
        <w:rPr>
          <w:rFonts w:ascii="Times New Roman" w:hAnsi="Times New Roman"/>
          <w:szCs w:val="24"/>
        </w:rPr>
        <w:t xml:space="preserve">. </w:t>
      </w:r>
      <w:r w:rsidR="002F3DC8" w:rsidRPr="008F6D08">
        <w:rPr>
          <w:rFonts w:ascii="Times New Roman" w:hAnsi="Times New Roman"/>
          <w:szCs w:val="24"/>
        </w:rPr>
        <w:t>From this simulation, record the final</w:t>
      </w:r>
      <w:r w:rsidR="00221FA8">
        <w:rPr>
          <w:rFonts w:ascii="Times New Roman" w:hAnsi="Times New Roman"/>
          <w:szCs w:val="24"/>
        </w:rPr>
        <w:t xml:space="preserve"> </w:t>
      </w:r>
      <w:r w:rsidR="002F3DC8" w:rsidRPr="008F6D08">
        <w:rPr>
          <w:rFonts w:ascii="Times New Roman" w:hAnsi="Times New Roman"/>
          <w:szCs w:val="24"/>
        </w:rPr>
        <w:t xml:space="preserve">population size </w:t>
      </w:r>
      <w:r w:rsidR="000D533C">
        <w:rPr>
          <w:rFonts w:ascii="Times New Roman" w:hAnsi="Times New Roman"/>
          <w:szCs w:val="24"/>
        </w:rPr>
        <w:t>of</w:t>
      </w:r>
      <w:r w:rsidR="002F3DC8" w:rsidRPr="008F6D08">
        <w:rPr>
          <w:rFonts w:ascii="Times New Roman" w:hAnsi="Times New Roman"/>
          <w:szCs w:val="24"/>
        </w:rPr>
        <w:t xml:space="preserve"> turtles</w:t>
      </w:r>
      <w:r w:rsidR="008F6D08">
        <w:rPr>
          <w:rFonts w:ascii="Times New Roman" w:hAnsi="Times New Roman"/>
          <w:szCs w:val="24"/>
        </w:rPr>
        <w:t xml:space="preserve">. </w:t>
      </w:r>
      <w:r w:rsidR="002F3DC8" w:rsidRPr="008F6D08">
        <w:rPr>
          <w:rFonts w:ascii="Times New Roman" w:hAnsi="Times New Roman"/>
          <w:szCs w:val="24"/>
        </w:rPr>
        <w:t xml:space="preserve">This information provides a </w:t>
      </w:r>
      <w:r w:rsidR="00F64D17">
        <w:rPr>
          <w:rFonts w:ascii="Times New Roman" w:hAnsi="Times New Roman"/>
          <w:szCs w:val="24"/>
        </w:rPr>
        <w:t xml:space="preserve">no-management baseline for the </w:t>
      </w:r>
      <w:r w:rsidR="002F3DC8" w:rsidRPr="008F6D08">
        <w:rPr>
          <w:rFonts w:ascii="Times New Roman" w:hAnsi="Times New Roman"/>
          <w:szCs w:val="24"/>
        </w:rPr>
        <w:t>analysis</w:t>
      </w:r>
      <w:r w:rsidR="00F64D17">
        <w:rPr>
          <w:rFonts w:ascii="Times New Roman" w:hAnsi="Times New Roman"/>
          <w:szCs w:val="24"/>
        </w:rPr>
        <w:t xml:space="preserve"> in Part B</w:t>
      </w:r>
      <w:r w:rsidR="00153F26">
        <w:rPr>
          <w:rFonts w:ascii="Times New Roman" w:hAnsi="Times New Roman"/>
          <w:szCs w:val="24"/>
        </w:rPr>
        <w:t>.</w:t>
      </w:r>
    </w:p>
    <w:p w:rsidR="000D533C" w:rsidRDefault="000D533C" w:rsidP="008F6D08">
      <w:pPr>
        <w:jc w:val="both"/>
        <w:rPr>
          <w:rFonts w:ascii="Times New Roman" w:hAnsi="Times New Roman"/>
          <w:szCs w:val="24"/>
        </w:rPr>
      </w:pPr>
    </w:p>
    <w:p w:rsidR="00C04ABE" w:rsidRPr="0072072D" w:rsidRDefault="00C04ABE" w:rsidP="008F6D08">
      <w:pPr>
        <w:jc w:val="both"/>
        <w:rPr>
          <w:rFonts w:ascii="Times New Roman" w:hAnsi="Times New Roman"/>
          <w:b/>
          <w:szCs w:val="24"/>
        </w:rPr>
      </w:pPr>
      <w:r w:rsidRPr="0072072D">
        <w:rPr>
          <w:rFonts w:ascii="Times New Roman" w:hAnsi="Times New Roman"/>
          <w:b/>
          <w:szCs w:val="24"/>
        </w:rPr>
        <w:t>Part B</w:t>
      </w:r>
      <w:r w:rsidR="0040642D" w:rsidRPr="0072072D">
        <w:rPr>
          <w:rFonts w:ascii="Times New Roman" w:hAnsi="Times New Roman"/>
          <w:b/>
          <w:szCs w:val="24"/>
        </w:rPr>
        <w:t>: Comparison of turtle conservation strategies</w:t>
      </w:r>
    </w:p>
    <w:p w:rsidR="002F3DC8" w:rsidRPr="008F6D08" w:rsidRDefault="002F3DC8" w:rsidP="008F6D08">
      <w:pPr>
        <w:jc w:val="both"/>
        <w:rPr>
          <w:rFonts w:ascii="Times New Roman" w:hAnsi="Times New Roman"/>
          <w:szCs w:val="24"/>
        </w:rPr>
      </w:pPr>
      <w:r w:rsidRPr="008F6D08">
        <w:rPr>
          <w:rFonts w:ascii="Times New Roman" w:hAnsi="Times New Roman"/>
          <w:szCs w:val="24"/>
        </w:rPr>
        <w:t>Two management strategies have been used in an attempt to prevent further decline of the loggerhead population</w:t>
      </w:r>
      <w:r w:rsidR="008F6D08">
        <w:rPr>
          <w:rFonts w:ascii="Times New Roman" w:hAnsi="Times New Roman"/>
          <w:szCs w:val="24"/>
        </w:rPr>
        <w:t xml:space="preserve">. </w:t>
      </w:r>
      <w:r w:rsidR="00153F26">
        <w:rPr>
          <w:rFonts w:ascii="Times New Roman" w:hAnsi="Times New Roman"/>
          <w:szCs w:val="24"/>
        </w:rPr>
        <w:t>First, shrimp fisherme</w:t>
      </w:r>
      <w:r w:rsidRPr="008F6D08">
        <w:rPr>
          <w:rFonts w:ascii="Times New Roman" w:hAnsi="Times New Roman"/>
          <w:szCs w:val="24"/>
        </w:rPr>
        <w:t>n have been requ</w:t>
      </w:r>
      <w:r w:rsidR="002F7522">
        <w:rPr>
          <w:rFonts w:ascii="Times New Roman" w:hAnsi="Times New Roman"/>
          <w:szCs w:val="24"/>
        </w:rPr>
        <w:t>ired to include turtle excluder</w:t>
      </w:r>
      <w:r w:rsidRPr="008F6D08">
        <w:rPr>
          <w:rFonts w:ascii="Times New Roman" w:hAnsi="Times New Roman"/>
          <w:szCs w:val="24"/>
        </w:rPr>
        <w:t xml:space="preserve"> devices (TEDs) on their nets, which reduce the incidental mortality of </w:t>
      </w:r>
      <w:proofErr w:type="spellStart"/>
      <w:r w:rsidRPr="008F6D08">
        <w:rPr>
          <w:rFonts w:ascii="Times New Roman" w:hAnsi="Times New Roman"/>
          <w:szCs w:val="24"/>
        </w:rPr>
        <w:t>subadult</w:t>
      </w:r>
      <w:proofErr w:type="spellEnd"/>
      <w:r w:rsidRPr="008F6D08">
        <w:rPr>
          <w:rFonts w:ascii="Times New Roman" w:hAnsi="Times New Roman"/>
          <w:szCs w:val="24"/>
        </w:rPr>
        <w:t xml:space="preserve"> and adult turtles from shrimp fishing</w:t>
      </w:r>
      <w:r w:rsidR="008F6D08">
        <w:rPr>
          <w:rFonts w:ascii="Times New Roman" w:hAnsi="Times New Roman"/>
          <w:szCs w:val="24"/>
        </w:rPr>
        <w:t xml:space="preserve">. </w:t>
      </w:r>
      <w:r w:rsidRPr="008F6D08">
        <w:rPr>
          <w:rFonts w:ascii="Times New Roman" w:hAnsi="Times New Roman"/>
          <w:szCs w:val="24"/>
        </w:rPr>
        <w:t xml:space="preserve">Increasing </w:t>
      </w:r>
      <w:r w:rsidRPr="00C73227">
        <w:rPr>
          <w:rFonts w:ascii="Times New Roman" w:hAnsi="Times New Roman"/>
          <w:szCs w:val="24"/>
        </w:rPr>
        <w:t>all three survival rates</w:t>
      </w:r>
      <w:r w:rsidRPr="008F6D08">
        <w:rPr>
          <w:rFonts w:ascii="Times New Roman" w:hAnsi="Times New Roman"/>
          <w:szCs w:val="24"/>
        </w:rPr>
        <w:t xml:space="preserve"> </w:t>
      </w:r>
      <w:r w:rsidR="005A7431">
        <w:rPr>
          <w:rFonts w:ascii="Times New Roman" w:hAnsi="Times New Roman"/>
          <w:szCs w:val="24"/>
        </w:rPr>
        <w:t xml:space="preserve">(i.e., within and between stage rates) </w:t>
      </w:r>
      <w:r w:rsidRPr="008F6D08">
        <w:rPr>
          <w:rFonts w:ascii="Times New Roman" w:hAnsi="Times New Roman"/>
          <w:szCs w:val="24"/>
        </w:rPr>
        <w:t xml:space="preserve">of </w:t>
      </w:r>
      <w:proofErr w:type="spellStart"/>
      <w:r w:rsidRPr="008F6D08">
        <w:rPr>
          <w:rFonts w:ascii="Times New Roman" w:hAnsi="Times New Roman"/>
          <w:szCs w:val="24"/>
        </w:rPr>
        <w:t>subadult</w:t>
      </w:r>
      <w:proofErr w:type="spellEnd"/>
      <w:r w:rsidRPr="008F6D08">
        <w:rPr>
          <w:rFonts w:ascii="Times New Roman" w:hAnsi="Times New Roman"/>
          <w:szCs w:val="24"/>
        </w:rPr>
        <w:t xml:space="preserve"> and adult turtles by 1% costs fishermen about $10,000</w:t>
      </w:r>
      <w:r w:rsidR="008F6D08">
        <w:rPr>
          <w:rFonts w:ascii="Times New Roman" w:hAnsi="Times New Roman"/>
          <w:szCs w:val="24"/>
        </w:rPr>
        <w:t xml:space="preserve">. </w:t>
      </w:r>
      <w:r w:rsidRPr="008F6D08">
        <w:rPr>
          <w:rFonts w:ascii="Times New Roman" w:hAnsi="Times New Roman"/>
          <w:szCs w:val="24"/>
        </w:rPr>
        <w:t>The second strategy is to increase turtle fecundity by protecting nesting beaches and transplanting eggs to hatcheries</w:t>
      </w:r>
      <w:r w:rsidR="008F6D08">
        <w:rPr>
          <w:rFonts w:ascii="Times New Roman" w:hAnsi="Times New Roman"/>
          <w:szCs w:val="24"/>
        </w:rPr>
        <w:t xml:space="preserve">. </w:t>
      </w:r>
      <w:r w:rsidRPr="008F6D08">
        <w:rPr>
          <w:rFonts w:ascii="Times New Roman" w:hAnsi="Times New Roman"/>
          <w:szCs w:val="24"/>
        </w:rPr>
        <w:t xml:space="preserve">Increasing both fecundity rates </w:t>
      </w:r>
      <w:r w:rsidR="000D533C">
        <w:rPr>
          <w:rFonts w:ascii="Times New Roman" w:hAnsi="Times New Roman"/>
          <w:szCs w:val="24"/>
        </w:rPr>
        <w:t xml:space="preserve">(adults and </w:t>
      </w:r>
      <w:proofErr w:type="spellStart"/>
      <w:r w:rsidR="000D533C">
        <w:rPr>
          <w:rFonts w:ascii="Times New Roman" w:hAnsi="Times New Roman"/>
          <w:szCs w:val="24"/>
        </w:rPr>
        <w:t>subadults</w:t>
      </w:r>
      <w:proofErr w:type="spellEnd"/>
      <w:r w:rsidR="000D533C">
        <w:rPr>
          <w:rFonts w:ascii="Times New Roman" w:hAnsi="Times New Roman"/>
          <w:szCs w:val="24"/>
        </w:rPr>
        <w:t xml:space="preserve">) </w:t>
      </w:r>
      <w:r w:rsidRPr="008F6D08">
        <w:rPr>
          <w:rFonts w:ascii="Times New Roman" w:hAnsi="Times New Roman"/>
          <w:szCs w:val="24"/>
        </w:rPr>
        <w:t>by 1% costs the taxpayer about $2,500</w:t>
      </w:r>
      <w:r w:rsidR="008F6D08">
        <w:rPr>
          <w:rFonts w:ascii="Times New Roman" w:hAnsi="Times New Roman"/>
          <w:szCs w:val="24"/>
        </w:rPr>
        <w:t xml:space="preserve">. </w:t>
      </w:r>
      <w:r w:rsidR="008818BA">
        <w:rPr>
          <w:rFonts w:ascii="Times New Roman" w:hAnsi="Times New Roman"/>
          <w:szCs w:val="24"/>
        </w:rPr>
        <w:t>D</w:t>
      </w:r>
      <w:r w:rsidR="008818BA" w:rsidRPr="008F6D08">
        <w:rPr>
          <w:rFonts w:ascii="Times New Roman" w:hAnsi="Times New Roman"/>
          <w:szCs w:val="24"/>
        </w:rPr>
        <w:t xml:space="preserve">etermine which strategy is more effective per dollar expended </w:t>
      </w:r>
      <w:r w:rsidR="005A7431">
        <w:rPr>
          <w:rFonts w:ascii="Times New Roman" w:hAnsi="Times New Roman"/>
          <w:szCs w:val="24"/>
        </w:rPr>
        <w:t>by testing a range of management expenditures for each strategy</w:t>
      </w:r>
      <w:r w:rsidR="000D533C">
        <w:rPr>
          <w:rFonts w:ascii="Times New Roman" w:hAnsi="Times New Roman"/>
          <w:szCs w:val="24"/>
        </w:rPr>
        <w:t xml:space="preserve"> (see excel file)</w:t>
      </w:r>
      <w:r w:rsidR="005A7431">
        <w:rPr>
          <w:rFonts w:ascii="Times New Roman" w:hAnsi="Times New Roman"/>
          <w:szCs w:val="24"/>
        </w:rPr>
        <w:t xml:space="preserve">. </w:t>
      </w:r>
      <w:r w:rsidR="00B85798">
        <w:rPr>
          <w:rFonts w:ascii="Times New Roman" w:hAnsi="Times New Roman"/>
          <w:szCs w:val="24"/>
        </w:rPr>
        <w:t>As in Part A, r</w:t>
      </w:r>
      <w:r w:rsidR="00B85798" w:rsidRPr="008F6D08">
        <w:rPr>
          <w:rFonts w:ascii="Times New Roman" w:hAnsi="Times New Roman"/>
          <w:szCs w:val="24"/>
        </w:rPr>
        <w:t xml:space="preserve">un </w:t>
      </w:r>
      <w:r w:rsidR="000D533C">
        <w:rPr>
          <w:rFonts w:ascii="Times New Roman" w:hAnsi="Times New Roman"/>
          <w:szCs w:val="24"/>
        </w:rPr>
        <w:t>2</w:t>
      </w:r>
      <w:r w:rsidR="00B85798" w:rsidRPr="008F6D08">
        <w:rPr>
          <w:rFonts w:ascii="Times New Roman" w:hAnsi="Times New Roman"/>
          <w:szCs w:val="24"/>
        </w:rPr>
        <w:t>0 year simulation</w:t>
      </w:r>
      <w:r w:rsidR="005A7431">
        <w:rPr>
          <w:rFonts w:ascii="Times New Roman" w:hAnsi="Times New Roman"/>
          <w:szCs w:val="24"/>
        </w:rPr>
        <w:t>s</w:t>
      </w:r>
      <w:r w:rsidR="00140E61">
        <w:rPr>
          <w:rFonts w:ascii="Times New Roman" w:hAnsi="Times New Roman"/>
          <w:szCs w:val="24"/>
        </w:rPr>
        <w:t>, and use the same initial abundance</w:t>
      </w:r>
      <w:r w:rsidR="00B85798">
        <w:rPr>
          <w:rFonts w:ascii="Times New Roman" w:hAnsi="Times New Roman"/>
          <w:szCs w:val="24"/>
        </w:rPr>
        <w:t xml:space="preserve">. </w:t>
      </w:r>
      <w:r w:rsidR="000D533C">
        <w:rPr>
          <w:rFonts w:ascii="Times New Roman" w:hAnsi="Times New Roman"/>
          <w:szCs w:val="24"/>
        </w:rPr>
        <w:t xml:space="preserve">Record your findings in the summary data sheet in the excel file to make a graph using the template, as well as make a recommendation about which strategy you would recommend to policy makers.  </w:t>
      </w:r>
    </w:p>
    <w:sectPr w:rsidR="002F3DC8" w:rsidRPr="008F6D0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FC" w:rsidRDefault="001E20FC" w:rsidP="00796AEB">
      <w:r>
        <w:separator/>
      </w:r>
    </w:p>
  </w:endnote>
  <w:endnote w:type="continuationSeparator" w:id="0">
    <w:p w:rsidR="001E20FC" w:rsidRDefault="001E20FC" w:rsidP="0079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B" w:rsidRDefault="00796A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33C">
      <w:rPr>
        <w:noProof/>
      </w:rPr>
      <w:t>1</w:t>
    </w:r>
    <w:r>
      <w:rPr>
        <w:noProof/>
      </w:rPr>
      <w:fldChar w:fldCharType="end"/>
    </w:r>
  </w:p>
  <w:p w:rsidR="00796AEB" w:rsidRDefault="0079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FC" w:rsidRDefault="001E20FC" w:rsidP="00796AEB">
      <w:r>
        <w:separator/>
      </w:r>
    </w:p>
  </w:footnote>
  <w:footnote w:type="continuationSeparator" w:id="0">
    <w:p w:rsidR="001E20FC" w:rsidRDefault="001E20FC" w:rsidP="0079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D"/>
    <w:rsid w:val="00053E64"/>
    <w:rsid w:val="000860A7"/>
    <w:rsid w:val="000D533C"/>
    <w:rsid w:val="00140E61"/>
    <w:rsid w:val="00153F26"/>
    <w:rsid w:val="001E20FC"/>
    <w:rsid w:val="00221FA8"/>
    <w:rsid w:val="002C5A57"/>
    <w:rsid w:val="002C7E77"/>
    <w:rsid w:val="002F3DC8"/>
    <w:rsid w:val="002F7522"/>
    <w:rsid w:val="00394338"/>
    <w:rsid w:val="003B4CD3"/>
    <w:rsid w:val="0040642D"/>
    <w:rsid w:val="0053548F"/>
    <w:rsid w:val="005A7431"/>
    <w:rsid w:val="006F2018"/>
    <w:rsid w:val="0072072D"/>
    <w:rsid w:val="00796AEB"/>
    <w:rsid w:val="008818BA"/>
    <w:rsid w:val="008F6D08"/>
    <w:rsid w:val="009C1FDA"/>
    <w:rsid w:val="00AA05B7"/>
    <w:rsid w:val="00AA796D"/>
    <w:rsid w:val="00B07145"/>
    <w:rsid w:val="00B85798"/>
    <w:rsid w:val="00C04ABE"/>
    <w:rsid w:val="00C73227"/>
    <w:rsid w:val="00D17146"/>
    <w:rsid w:val="00D8382F"/>
    <w:rsid w:val="00E63296"/>
    <w:rsid w:val="00E9489B"/>
    <w:rsid w:val="00ED6B97"/>
    <w:rsid w:val="00F27815"/>
    <w:rsid w:val="00F52715"/>
    <w:rsid w:val="00F64D17"/>
    <w:rsid w:val="00FA7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D1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6A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6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AE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D17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6A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6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AE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Problem Solving</vt:lpstr>
    </vt:vector>
  </TitlesOfParts>
  <Company>Fisheries and Wildlife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Problem Solving</dc:title>
  <dc:creator>Ace Sarnelle</dc:creator>
  <cp:lastModifiedBy>Sara</cp:lastModifiedBy>
  <cp:revision>2</cp:revision>
  <cp:lastPrinted>2012-03-07T00:26:00Z</cp:lastPrinted>
  <dcterms:created xsi:type="dcterms:W3CDTF">2013-10-28T21:08:00Z</dcterms:created>
  <dcterms:modified xsi:type="dcterms:W3CDTF">2013-10-28T21:08:00Z</dcterms:modified>
</cp:coreProperties>
</file>